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7F1690" w:rsidRDefault="00E1182B" w:rsidP="007F1690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7F1690" w:rsidRDefault="00CF6CD3" w:rsidP="007F1690">
      <w:pPr>
        <w:pStyle w:val="DecHTitle"/>
        <w:rPr>
          <w:lang w:val="fr-FR"/>
        </w:rPr>
      </w:pPr>
      <w:r w:rsidRPr="007F1690">
        <w:rPr>
          <w:szCs w:val="24"/>
          <w:lang w:val="fr-FR"/>
        </w:rPr>
        <w:t>PREMIÈRE SECTION</w:t>
      </w:r>
    </w:p>
    <w:p w:rsidR="000A3B73" w:rsidRPr="007F1690" w:rsidRDefault="000A3B73" w:rsidP="007F1690">
      <w:pPr>
        <w:pStyle w:val="DecHTitle"/>
        <w:rPr>
          <w:caps/>
          <w:sz w:val="32"/>
          <w:lang w:val="fr-FR"/>
        </w:rPr>
      </w:pPr>
      <w:r w:rsidRPr="007F1690">
        <w:rPr>
          <w:lang w:val="fr-FR"/>
        </w:rPr>
        <w:t>DÉCISION</w:t>
      </w:r>
    </w:p>
    <w:p w:rsidR="007F1690" w:rsidRPr="007F1690" w:rsidRDefault="000A3B73" w:rsidP="007F1690">
      <w:pPr>
        <w:pStyle w:val="ECHRTitleCentre2"/>
        <w:rPr>
          <w:lang w:val="fr-FR"/>
        </w:rPr>
      </w:pPr>
      <w:r w:rsidRPr="007F1690">
        <w:rPr>
          <w:lang w:val="fr-FR"/>
        </w:rPr>
        <w:t>Requête n</w:t>
      </w:r>
      <w:r w:rsidRPr="007F1690">
        <w:rPr>
          <w:vertAlign w:val="superscript"/>
          <w:lang w:val="fr-FR"/>
        </w:rPr>
        <w:t>o</w:t>
      </w:r>
      <w:r w:rsidRPr="007F1690">
        <w:rPr>
          <w:lang w:val="fr-FR"/>
        </w:rPr>
        <w:t xml:space="preserve"> </w:t>
      </w:r>
      <w:r w:rsidR="00CF6CD3" w:rsidRPr="007F1690">
        <w:rPr>
          <w:lang w:val="fr-FR"/>
        </w:rPr>
        <w:t>310/16</w:t>
      </w:r>
      <w:r w:rsidRPr="007F1690">
        <w:rPr>
          <w:lang w:val="fr-FR"/>
        </w:rPr>
        <w:br/>
      </w:r>
      <w:r w:rsidR="00CF6CD3" w:rsidRPr="007F1690">
        <w:rPr>
          <w:lang w:val="fr-FR"/>
        </w:rPr>
        <w:t>Marino BONGI et autres</w:t>
      </w:r>
      <w:r w:rsidRPr="007F1690">
        <w:rPr>
          <w:lang w:val="fr-FR"/>
        </w:rPr>
        <w:t xml:space="preserve"> contre </w:t>
      </w:r>
      <w:r w:rsidR="00CF6CD3" w:rsidRPr="007F1690">
        <w:rPr>
          <w:lang w:val="fr-FR"/>
        </w:rPr>
        <w:t>l</w:t>
      </w:r>
      <w:r w:rsidR="007F1690" w:rsidRPr="007F1690">
        <w:rPr>
          <w:lang w:val="fr-FR"/>
        </w:rPr>
        <w:t>’</w:t>
      </w:r>
      <w:r w:rsidR="00CF6CD3" w:rsidRPr="007F1690">
        <w:rPr>
          <w:lang w:val="fr-FR"/>
        </w:rPr>
        <w:t>Italie</w:t>
      </w:r>
      <w:r w:rsidRPr="007F1690">
        <w:rPr>
          <w:lang w:val="fr-FR"/>
        </w:rPr>
        <w:br/>
        <w:t xml:space="preserve">et </w:t>
      </w:r>
      <w:r w:rsidR="00290AAA" w:rsidRPr="007F1690">
        <w:rPr>
          <w:lang w:val="fr-FR"/>
        </w:rPr>
        <w:t>2</w:t>
      </w:r>
      <w:r w:rsidRPr="007F1690">
        <w:rPr>
          <w:lang w:val="fr-FR"/>
        </w:rPr>
        <w:t xml:space="preserve"> autres requêtes</w:t>
      </w:r>
      <w:r w:rsidRPr="007F1690">
        <w:rPr>
          <w:lang w:val="fr-FR"/>
        </w:rPr>
        <w:br/>
      </w:r>
      <w:r w:rsidR="00CF6CD3" w:rsidRPr="007F1690">
        <w:rPr>
          <w:lang w:val="fr-FR"/>
        </w:rPr>
        <w:t>(voir tableau en annexe)</w:t>
      </w:r>
    </w:p>
    <w:p w:rsidR="000A3B73" w:rsidRPr="007F1690" w:rsidRDefault="000A3B73" w:rsidP="007F1690">
      <w:pPr>
        <w:pStyle w:val="ECHRPara"/>
        <w:rPr>
          <w:lang w:val="fr-FR" w:eastAsia="en-GB"/>
        </w:rPr>
      </w:pPr>
    </w:p>
    <w:p w:rsidR="00290AAA" w:rsidRPr="007F1690" w:rsidRDefault="00290AAA" w:rsidP="007F1690">
      <w:pPr>
        <w:pStyle w:val="ECHRPara"/>
        <w:rPr>
          <w:lang w:val="fr-FR"/>
        </w:rPr>
      </w:pPr>
      <w:r w:rsidRPr="007F1690">
        <w:rPr>
          <w:rStyle w:val="JuParaCar"/>
          <w:lang w:val="fr-FR"/>
        </w:rPr>
        <w:t>La Cour européenne des droits de l</w:t>
      </w:r>
      <w:r w:rsidR="007F1690" w:rsidRPr="007F1690">
        <w:rPr>
          <w:rStyle w:val="JuParaCar"/>
          <w:lang w:val="fr-FR"/>
        </w:rPr>
        <w:t>’</w:t>
      </w:r>
      <w:r w:rsidRPr="007F1690">
        <w:rPr>
          <w:rStyle w:val="JuParaCar"/>
          <w:lang w:val="fr-FR"/>
        </w:rPr>
        <w:t>homme (première section), siégeant le 21 juin 2018</w:t>
      </w:r>
      <w:r w:rsidRPr="007F1690">
        <w:rPr>
          <w:lang w:val="fr-FR"/>
        </w:rPr>
        <w:t xml:space="preserve"> en un comité composé de :</w:t>
      </w:r>
    </w:p>
    <w:p w:rsidR="00290AAA" w:rsidRPr="007F1690" w:rsidRDefault="00290AAA" w:rsidP="007F1690">
      <w:pPr>
        <w:pStyle w:val="ECHRDecisionBody"/>
        <w:rPr>
          <w:lang w:val="fr-FR"/>
        </w:rPr>
      </w:pPr>
      <w:r w:rsidRPr="007F1690">
        <w:rPr>
          <w:rFonts w:eastAsiaTheme="minorHAnsi"/>
          <w:lang w:val="fr-FR"/>
        </w:rPr>
        <w:tab/>
        <w:t xml:space="preserve">Ksenija Turkovic, </w:t>
      </w:r>
      <w:r w:rsidRPr="007F1690">
        <w:rPr>
          <w:rFonts w:eastAsiaTheme="minorHAnsi"/>
          <w:i/>
          <w:lang w:val="fr-FR"/>
        </w:rPr>
        <w:t>p</w:t>
      </w:r>
      <w:r w:rsidRPr="007F1690">
        <w:rPr>
          <w:i/>
          <w:lang w:val="fr-FR"/>
        </w:rPr>
        <w:t>résidente</w:t>
      </w:r>
      <w:r w:rsidRPr="007F1690">
        <w:rPr>
          <w:lang w:val="fr-FR"/>
        </w:rPr>
        <w:t>,</w:t>
      </w:r>
    </w:p>
    <w:p w:rsidR="00290AAA" w:rsidRPr="007F1690" w:rsidRDefault="00290AAA" w:rsidP="007F1690">
      <w:pPr>
        <w:pStyle w:val="ECHRDecisionBody"/>
        <w:rPr>
          <w:rFonts w:eastAsiaTheme="minorHAnsi"/>
          <w:lang w:val="fr-FR"/>
        </w:rPr>
      </w:pPr>
      <w:r w:rsidRPr="007F1690">
        <w:rPr>
          <w:rFonts w:eastAsiaTheme="minorHAnsi"/>
          <w:lang w:val="fr-FR"/>
        </w:rPr>
        <w:tab/>
        <w:t>Pauliine Koskelo,</w:t>
      </w:r>
    </w:p>
    <w:p w:rsidR="00290AAA" w:rsidRPr="007F1690" w:rsidRDefault="00290AAA" w:rsidP="007F1690">
      <w:pPr>
        <w:pStyle w:val="ECHRDecisionBody"/>
        <w:rPr>
          <w:lang w:val="fr-FR"/>
        </w:rPr>
      </w:pPr>
      <w:r w:rsidRPr="007F1690">
        <w:rPr>
          <w:rFonts w:eastAsiaTheme="minorHAnsi"/>
          <w:lang w:val="fr-FR"/>
        </w:rPr>
        <w:tab/>
        <w:t xml:space="preserve">Tim Eicke, </w:t>
      </w:r>
      <w:r w:rsidRPr="007F1690">
        <w:rPr>
          <w:rFonts w:eastAsiaTheme="minorHAnsi"/>
          <w:i/>
          <w:lang w:val="fr-FR"/>
        </w:rPr>
        <w:t>juges</w:t>
      </w:r>
      <w:r w:rsidRPr="007F1690">
        <w:rPr>
          <w:rFonts w:eastAsiaTheme="minorHAnsi"/>
          <w:lang w:val="fr-FR"/>
        </w:rPr>
        <w:t>,</w:t>
      </w:r>
    </w:p>
    <w:p w:rsidR="00CF6CD3" w:rsidRPr="007F1690" w:rsidRDefault="00CF6CD3" w:rsidP="007F1690">
      <w:pPr>
        <w:pStyle w:val="ECHRDecisionBody"/>
        <w:rPr>
          <w:lang w:val="fr-FR"/>
        </w:rPr>
      </w:pPr>
      <w:r w:rsidRPr="007F1690">
        <w:rPr>
          <w:lang w:val="fr-FR"/>
        </w:rPr>
        <w:t xml:space="preserve">et de Liv Tigerstedt, </w:t>
      </w:r>
      <w:r w:rsidRPr="007F1690">
        <w:rPr>
          <w:i/>
          <w:lang w:val="fr-FR"/>
        </w:rPr>
        <w:t>g</w:t>
      </w:r>
      <w:r w:rsidRPr="007F1690">
        <w:rPr>
          <w:rFonts w:eastAsia="PMingLiU"/>
          <w:i/>
          <w:lang w:val="fr-FR"/>
        </w:rPr>
        <w:t>reffière adjointe de section f.f.</w:t>
      </w:r>
      <w:r w:rsidRPr="007F1690">
        <w:rPr>
          <w:lang w:val="fr-FR"/>
        </w:rPr>
        <w:t>,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Vu les requêtes susmentionnées introduites aux dates indiquées dans le tableau joint en annexe,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Après en avoir délibéré, rend la décision suivante :</w:t>
      </w:r>
    </w:p>
    <w:p w:rsidR="00CF6CD3" w:rsidRPr="007F1690" w:rsidRDefault="00CF6CD3" w:rsidP="007F1690">
      <w:pPr>
        <w:pStyle w:val="ECHRTitle1"/>
        <w:rPr>
          <w:rFonts w:eastAsia="PMingLiU"/>
          <w:lang w:val="fr-FR"/>
        </w:rPr>
      </w:pPr>
      <w:r w:rsidRPr="007F1690">
        <w:rPr>
          <w:rFonts w:eastAsia="PMingLiU"/>
          <w:lang w:val="fr-FR"/>
        </w:rPr>
        <w:t>FAITS ET P</w:t>
      </w:r>
      <w:r w:rsidRPr="007F1690">
        <w:rPr>
          <w:lang w:val="fr-FR"/>
        </w:rPr>
        <w:t>ROCÉDURE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La liste des requérants et les précisions</w:t>
      </w:r>
      <w:r w:rsidRPr="007F1690">
        <w:rPr>
          <w:b/>
          <w:lang w:val="fr-FR"/>
        </w:rPr>
        <w:t xml:space="preserve"> </w:t>
      </w:r>
      <w:r w:rsidRPr="007F1690">
        <w:rPr>
          <w:lang w:val="fr-FR"/>
        </w:rPr>
        <w:t>pertinentes sur les requêtes figurent dans le tableau joint en annexe.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Les requérants ont été représentés par M</w:t>
      </w:r>
      <w:r w:rsidRPr="007F1690">
        <w:rPr>
          <w:vertAlign w:val="superscript"/>
          <w:lang w:val="fr-FR"/>
        </w:rPr>
        <w:t>e</w:t>
      </w:r>
      <w:r w:rsidRPr="007F1690">
        <w:rPr>
          <w:lang w:val="fr-FR"/>
        </w:rPr>
        <w:t xml:space="preserve"> Silvia Andreani, avocate à Massa.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Les griefs que les requérants tiraient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article 6 § 1 de la Convention et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article 1 du Protocole n</w:t>
      </w:r>
      <w:r w:rsidRPr="007F1690">
        <w:rPr>
          <w:vertAlign w:val="superscript"/>
          <w:lang w:val="fr-FR"/>
        </w:rPr>
        <w:t>o</w:t>
      </w:r>
      <w:r w:rsidRPr="007F1690">
        <w:rPr>
          <w:lang w:val="fr-FR"/>
        </w:rPr>
        <w:t> 1 (inexécution ou exécution tardive de décisions de justice internes ou durée des procédures y relatives</w:t>
      </w:r>
      <w:r w:rsidRPr="007F1690">
        <w:rPr>
          <w:rFonts w:ascii="Times New Roman" w:eastAsia="PMingLiU" w:hAnsi="Times New Roman" w:cs="Times New Roman"/>
          <w:lang w:val="fr-FR"/>
        </w:rPr>
        <w:t>)</w:t>
      </w:r>
      <w:r w:rsidRPr="007F1690">
        <w:rPr>
          <w:lang w:val="fr-FR"/>
        </w:rPr>
        <w:t xml:space="preserve"> ont été communiqués au gouvernement italien (« le Gouvernement »).</w:t>
      </w:r>
    </w:p>
    <w:p w:rsidR="00CF6CD3" w:rsidRPr="007F1690" w:rsidRDefault="00CF6CD3" w:rsidP="007F1690">
      <w:pPr>
        <w:pStyle w:val="ECHRPara"/>
        <w:keepNext/>
        <w:keepLines/>
        <w:rPr>
          <w:rStyle w:val="sb8d990e2"/>
          <w:lang w:val="fr-FR"/>
        </w:rPr>
      </w:pPr>
      <w:r w:rsidRPr="007F1690">
        <w:rPr>
          <w:rStyle w:val="sb8d990e2"/>
          <w:lang w:val="fr-FR"/>
        </w:rPr>
        <w:lastRenderedPageBreak/>
        <w:t>Par une lettre du 11 mai 2018, la représentante des requérants a indiqué que MM. Leonello Raddi (requête n</w:t>
      </w:r>
      <w:r w:rsidRPr="007F1690">
        <w:rPr>
          <w:rStyle w:val="sb8d990e2"/>
          <w:vertAlign w:val="superscript"/>
          <w:lang w:val="fr-FR"/>
        </w:rPr>
        <w:t>o</w:t>
      </w:r>
      <w:r w:rsidRPr="007F1690">
        <w:rPr>
          <w:rStyle w:val="sb8d990e2"/>
          <w:lang w:val="fr-FR"/>
        </w:rPr>
        <w:t xml:space="preserve"> 310/16) et Clemente Fasoli (requête n</w:t>
      </w:r>
      <w:r w:rsidRPr="007F1690">
        <w:rPr>
          <w:rStyle w:val="sb8d990e2"/>
          <w:vertAlign w:val="superscript"/>
          <w:lang w:val="fr-FR"/>
        </w:rPr>
        <w:t>o</w:t>
      </w:r>
      <w:r w:rsidR="00E944EC" w:rsidRPr="007F1690">
        <w:rPr>
          <w:rStyle w:val="sb8d990e2"/>
          <w:lang w:val="fr-FR"/>
        </w:rPr>
        <w:t> </w:t>
      </w:r>
      <w:r w:rsidRPr="007F1690">
        <w:rPr>
          <w:rStyle w:val="sb8d990e2"/>
          <w:lang w:val="fr-FR"/>
        </w:rPr>
        <w:t>2657/16) étaient décédés à des dates non précisées. Aucun héritier ne s</w:t>
      </w:r>
      <w:r w:rsidR="007F1690" w:rsidRPr="007F1690">
        <w:rPr>
          <w:rStyle w:val="sb8d990e2"/>
          <w:lang w:val="fr-FR"/>
        </w:rPr>
        <w:t>’</w:t>
      </w:r>
      <w:r w:rsidRPr="007F1690">
        <w:rPr>
          <w:rStyle w:val="sb8d990e2"/>
          <w:lang w:val="fr-FR"/>
        </w:rPr>
        <w:t>est constitué dans la procédure devant la Cour.</w:t>
      </w:r>
    </w:p>
    <w:p w:rsidR="00CF6CD3" w:rsidRPr="007F1690" w:rsidRDefault="00CF6CD3" w:rsidP="007F1690">
      <w:pPr>
        <w:pStyle w:val="ECHRPara"/>
        <w:keepNext/>
        <w:keepLines/>
        <w:rPr>
          <w:rFonts w:eastAsia="PMingLiU"/>
          <w:lang w:val="fr-FR"/>
        </w:rPr>
      </w:pPr>
      <w:r w:rsidRPr="007F1690">
        <w:rPr>
          <w:lang w:val="fr-FR"/>
        </w:rPr>
        <w:t>Relativement au restant des requêtes, les parties ont informé la Cour qu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elles étaient parvenues à un accord dans le cadre de la procédure interne.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accord de règlement aux termes duquel les requérants ont accepté que les requêtes soient rayées du rôle a été conclu sous réserve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 xml:space="preserve">engagement du Gouvernement à payer à chaque requérant </w:t>
      </w:r>
      <w:r w:rsidRPr="007F1690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7F1690" w:rsidRPr="007F1690">
        <w:rPr>
          <w:rFonts w:ascii="Times New Roman" w:eastAsia="Times New Roman" w:hAnsi="Times New Roman" w:cs="Times New Roman"/>
          <w:lang w:val="fr-FR"/>
        </w:rPr>
        <w:t>’</w:t>
      </w:r>
      <w:r w:rsidRPr="007F1690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F1690" w:rsidRPr="007F1690">
        <w:rPr>
          <w:rFonts w:ascii="Times New Roman" w:eastAsia="Times New Roman" w:hAnsi="Times New Roman" w:cs="Times New Roman"/>
          <w:lang w:val="fr-FR"/>
        </w:rPr>
        <w:t>’</w:t>
      </w:r>
      <w:r w:rsidRPr="007F1690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7F1690">
        <w:rPr>
          <w:lang w:val="fr-FR"/>
        </w:rPr>
        <w:t xml:space="preserve"> Ces sommes</w:t>
      </w:r>
      <w:r w:rsidRPr="007F1690">
        <w:rPr>
          <w:rFonts w:eastAsia="PMingLiU"/>
          <w:lang w:val="fr-FR"/>
        </w:rPr>
        <w:t xml:space="preserve"> </w:t>
      </w:r>
      <w:r w:rsidRPr="007F1690">
        <w:rPr>
          <w:lang w:val="fr-FR"/>
        </w:rPr>
        <w:t>seront payables dans un délai de trois mois à compter de la date de la notification de la décision de la Cour. Si elles n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étaient pas versées dans ce délai, le Gouvernement s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engage à les majorer, à compter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expiration du délai et jusqu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au règlement, d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CF6CD3" w:rsidRPr="007F1690" w:rsidRDefault="00CF6CD3" w:rsidP="007F1690">
      <w:pPr>
        <w:pStyle w:val="ECHRPara"/>
        <w:rPr>
          <w:rFonts w:eastAsia="PMingLiU"/>
          <w:lang w:val="fr-FR"/>
        </w:rPr>
      </w:pPr>
      <w:r w:rsidRPr="007F1690">
        <w:rPr>
          <w:lang w:val="fr-FR"/>
        </w:rPr>
        <w:t xml:space="preserve">Le paiement </w:t>
      </w:r>
      <w:r w:rsidRPr="007F1690">
        <w:rPr>
          <w:rFonts w:eastAsia="PMingLiU"/>
          <w:lang w:val="fr-FR"/>
        </w:rPr>
        <w:t xml:space="preserve">vaudra </w:t>
      </w:r>
      <w:r w:rsidRPr="007F1690">
        <w:rPr>
          <w:lang w:val="fr-FR"/>
        </w:rPr>
        <w:t>règlement définitif des affaires.</w:t>
      </w:r>
    </w:p>
    <w:p w:rsidR="00CF6CD3" w:rsidRPr="007F1690" w:rsidRDefault="00CF6CD3" w:rsidP="007F1690">
      <w:pPr>
        <w:pStyle w:val="ECHRTitle1"/>
        <w:rPr>
          <w:rFonts w:eastAsia="PMingLiU"/>
          <w:lang w:val="fr-FR"/>
        </w:rPr>
      </w:pPr>
      <w:r w:rsidRPr="007F1690">
        <w:rPr>
          <w:rFonts w:eastAsia="PMingLiU"/>
          <w:lang w:val="fr-FR"/>
        </w:rPr>
        <w:t>EN DROIT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Compte tenu de la similitude des requêtes la Cour estime approprié de les examiner conjointement en une seule décision.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À la lumière de ce qui précède, la Cour considère qu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il ne se justifie plus de poursuivre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 xml:space="preserve">examen de la partie des requêtes introduites par </w:t>
      </w:r>
      <w:r w:rsidRPr="007F1690">
        <w:rPr>
          <w:rStyle w:val="sb8d990e2"/>
          <w:lang w:val="fr-FR"/>
        </w:rPr>
        <w:t>MM. Leonello Raddi (requête n</w:t>
      </w:r>
      <w:r w:rsidRPr="007F1690">
        <w:rPr>
          <w:rStyle w:val="sb8d990e2"/>
          <w:vertAlign w:val="superscript"/>
          <w:lang w:val="fr-FR"/>
        </w:rPr>
        <w:t>o</w:t>
      </w:r>
      <w:r w:rsidRPr="007F1690">
        <w:rPr>
          <w:rStyle w:val="sb8d990e2"/>
          <w:lang w:val="fr-FR"/>
        </w:rPr>
        <w:t xml:space="preserve"> 310/16) et Clemente Fasoli (requête n</w:t>
      </w:r>
      <w:r w:rsidRPr="007F1690">
        <w:rPr>
          <w:rStyle w:val="sb8d990e2"/>
          <w:vertAlign w:val="superscript"/>
          <w:lang w:val="fr-FR"/>
        </w:rPr>
        <w:t>o</w:t>
      </w:r>
      <w:r w:rsidR="00E944EC" w:rsidRPr="007F1690">
        <w:rPr>
          <w:rStyle w:val="sb8d990e2"/>
          <w:lang w:val="fr-FR"/>
        </w:rPr>
        <w:t> </w:t>
      </w:r>
      <w:r w:rsidRPr="007F1690">
        <w:rPr>
          <w:rStyle w:val="sb8d990e2"/>
          <w:lang w:val="fr-FR"/>
        </w:rPr>
        <w:t>2657/16)</w:t>
      </w:r>
      <w:r w:rsidRPr="007F1690">
        <w:rPr>
          <w:lang w:val="fr-FR"/>
        </w:rPr>
        <w:t xml:space="preserve"> au sens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article 37 § 1 c) de la Convention.</w:t>
      </w:r>
    </w:p>
    <w:p w:rsidR="00CF6CD3" w:rsidRPr="007F1690" w:rsidRDefault="00CF6CD3" w:rsidP="007F1690">
      <w:pPr>
        <w:pStyle w:val="ECHRPara"/>
        <w:rPr>
          <w:rFonts w:eastAsia="PMingLiU"/>
          <w:lang w:val="fr-FR"/>
        </w:rPr>
      </w:pPr>
      <w:r w:rsidRPr="007F1690">
        <w:rPr>
          <w:lang w:val="fr-FR"/>
        </w:rPr>
        <w:t>La Cour considère également que le restant du litige a été résolu au sens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article 37 § 1 b) de la Convention. Par ailleurs, aucun motif particulier touchant au respect des droits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homme garantis par la Convention et ses protocoles n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exige la poursuite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examen de ces requêtes en vertu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 xml:space="preserve">article 37 § 1 </w:t>
      </w:r>
      <w:r w:rsidRPr="007F1690">
        <w:rPr>
          <w:i/>
          <w:lang w:val="fr-FR"/>
        </w:rPr>
        <w:t>in fine</w:t>
      </w:r>
      <w:r w:rsidRPr="007F1690">
        <w:rPr>
          <w:rFonts w:eastAsia="PMingLiU"/>
          <w:lang w:val="fr-FR"/>
        </w:rPr>
        <w:t>.</w:t>
      </w:r>
    </w:p>
    <w:p w:rsidR="00CF6CD3" w:rsidRPr="007F1690" w:rsidRDefault="00CF6CD3" w:rsidP="007F1690">
      <w:pPr>
        <w:pStyle w:val="ECHRPara"/>
        <w:rPr>
          <w:lang w:val="fr-FR"/>
        </w:rPr>
      </w:pPr>
      <w:r w:rsidRPr="007F1690">
        <w:rPr>
          <w:lang w:val="fr-FR"/>
        </w:rPr>
        <w:t>Il y a donc lieu de rayer les requêtes du rôle</w:t>
      </w:r>
      <w:r w:rsidRPr="007F1690">
        <w:rPr>
          <w:rFonts w:eastAsia="PMingLiU"/>
          <w:lang w:val="fr-FR" w:eastAsia="en-GB"/>
        </w:rPr>
        <w:t>.</w:t>
      </w:r>
    </w:p>
    <w:p w:rsidR="00CF6CD3" w:rsidRPr="007F1690" w:rsidRDefault="00CF6CD3" w:rsidP="007F1690">
      <w:pPr>
        <w:pStyle w:val="JuParaLast"/>
        <w:rPr>
          <w:lang w:val="fr-FR"/>
        </w:rPr>
      </w:pPr>
      <w:r w:rsidRPr="007F1690">
        <w:rPr>
          <w:lang w:val="fr-FR"/>
        </w:rPr>
        <w:lastRenderedPageBreak/>
        <w:t>Par ces motifs, la Cour, à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unanimité,</w:t>
      </w:r>
    </w:p>
    <w:p w:rsidR="00CF6CD3" w:rsidRPr="007F1690" w:rsidRDefault="00CF6CD3" w:rsidP="007F1690">
      <w:pPr>
        <w:pStyle w:val="DecList"/>
        <w:keepNext/>
        <w:keepLines/>
        <w:rPr>
          <w:lang w:val="fr-FR"/>
        </w:rPr>
      </w:pPr>
      <w:r w:rsidRPr="007F1690">
        <w:rPr>
          <w:i/>
          <w:lang w:val="fr-FR"/>
        </w:rPr>
        <w:t>Décide</w:t>
      </w:r>
      <w:r w:rsidRPr="007F1690">
        <w:rPr>
          <w:lang w:val="fr-FR"/>
        </w:rPr>
        <w:t xml:space="preserve"> de joindre les requêtes ;</w:t>
      </w:r>
    </w:p>
    <w:p w:rsidR="00CF6CD3" w:rsidRPr="007F1690" w:rsidRDefault="00CF6CD3" w:rsidP="007F1690">
      <w:pPr>
        <w:pStyle w:val="DecList"/>
        <w:keepNext/>
        <w:keepLines/>
        <w:rPr>
          <w:rFonts w:eastAsia="PMingLiU"/>
          <w:lang w:val="fr-FR"/>
        </w:rPr>
      </w:pPr>
      <w:r w:rsidRPr="007F1690">
        <w:rPr>
          <w:i/>
          <w:szCs w:val="24"/>
          <w:lang w:val="fr-FR"/>
        </w:rPr>
        <w:t>Décide</w:t>
      </w:r>
      <w:r w:rsidRPr="007F1690">
        <w:rPr>
          <w:szCs w:val="24"/>
          <w:lang w:val="fr-FR"/>
        </w:rPr>
        <w:t xml:space="preserve"> de rayer les requêtes du rôle</w:t>
      </w:r>
      <w:r w:rsidRPr="007F1690">
        <w:rPr>
          <w:rFonts w:eastAsia="PMingLiU"/>
          <w:lang w:val="fr-FR" w:eastAsia="en-GB"/>
        </w:rPr>
        <w:t>.</w:t>
      </w:r>
    </w:p>
    <w:p w:rsidR="005E50CB" w:rsidRPr="007F1690" w:rsidRDefault="005E50CB" w:rsidP="007F1690">
      <w:pPr>
        <w:pStyle w:val="JuParaLast"/>
        <w:rPr>
          <w:lang w:val="fr-FR"/>
        </w:rPr>
      </w:pPr>
      <w:r w:rsidRPr="007F1690">
        <w:rPr>
          <w:szCs w:val="24"/>
          <w:lang w:val="fr-FR"/>
        </w:rPr>
        <w:t xml:space="preserve">Fait en français puis communiqué par écrit le </w:t>
      </w:r>
      <w:r w:rsidR="00CF6CD3" w:rsidRPr="007F1690">
        <w:rPr>
          <w:szCs w:val="24"/>
          <w:lang w:val="fr-FR"/>
        </w:rPr>
        <w:t>12 juillet 2018</w:t>
      </w:r>
      <w:r w:rsidRPr="007F1690">
        <w:rPr>
          <w:lang w:val="fr-FR"/>
        </w:rPr>
        <w:t>.</w:t>
      </w:r>
    </w:p>
    <w:p w:rsidR="00290AAA" w:rsidRPr="007F1690" w:rsidRDefault="00290AAA" w:rsidP="007F1690">
      <w:pPr>
        <w:pStyle w:val="JuSigned"/>
        <w:keepNext/>
        <w:keepLines/>
        <w:tabs>
          <w:tab w:val="clear" w:pos="851"/>
          <w:tab w:val="center" w:pos="993"/>
        </w:tabs>
        <w:rPr>
          <w:szCs w:val="24"/>
          <w:lang w:val="fr-FR"/>
        </w:rPr>
        <w:sectPr w:rsidR="00290AAA" w:rsidRPr="007F1690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7F1690">
        <w:rPr>
          <w:lang w:val="fr-FR"/>
        </w:rPr>
        <w:tab/>
        <w:t>Liv Tigerstedt</w:t>
      </w:r>
      <w:r w:rsidRPr="007F1690">
        <w:rPr>
          <w:lang w:val="fr-FR"/>
        </w:rPr>
        <w:tab/>
      </w:r>
      <w:r w:rsidRPr="007F1690">
        <w:rPr>
          <w:rFonts w:eastAsiaTheme="minorHAnsi"/>
          <w:lang w:val="fr-FR"/>
        </w:rPr>
        <w:t>Ksenija Turkovic</w:t>
      </w:r>
      <w:r w:rsidRPr="007F1690">
        <w:rPr>
          <w:lang w:val="fr-FR"/>
        </w:rPr>
        <w:br/>
      </w:r>
      <w:r w:rsidRPr="007F1690">
        <w:rPr>
          <w:lang w:val="fr-FR"/>
        </w:rPr>
        <w:tab/>
        <w:t>Gre</w:t>
      </w:r>
      <w:r w:rsidRPr="007F1690">
        <w:rPr>
          <w:rFonts w:eastAsia="PMingLiU"/>
          <w:lang w:val="fr-FR"/>
        </w:rPr>
        <w:t>ffière adjointe f.f.</w:t>
      </w:r>
      <w:r w:rsidRPr="007F1690">
        <w:rPr>
          <w:lang w:val="fr-FR"/>
        </w:rPr>
        <w:tab/>
        <w:t>Présidente</w:t>
      </w:r>
    </w:p>
    <w:p w:rsidR="00CF6CD3" w:rsidRPr="007F1690" w:rsidRDefault="00CF6CD3" w:rsidP="007F1690">
      <w:pPr>
        <w:pStyle w:val="JuTitle"/>
        <w:rPr>
          <w:lang w:val="fr-FR"/>
        </w:rPr>
      </w:pPr>
      <w:r w:rsidRPr="007F1690">
        <w:rPr>
          <w:lang w:val="fr-FR"/>
        </w:rPr>
        <w:lastRenderedPageBreak/>
        <w:t>ANNEXE</w:t>
      </w:r>
    </w:p>
    <w:p w:rsidR="00CF6CD3" w:rsidRPr="007F1690" w:rsidRDefault="00CF6CD3" w:rsidP="007F1690">
      <w:pPr>
        <w:pStyle w:val="ECHRTitleCentre2"/>
        <w:rPr>
          <w:lang w:val="fr-FR"/>
        </w:rPr>
      </w:pPr>
      <w:r w:rsidRPr="007F1690">
        <w:rPr>
          <w:lang w:val="fr-FR"/>
        </w:rPr>
        <w:t>Requêtes concernant des griefs tirés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article 6 § 1 de la Convention et de l</w:t>
      </w:r>
      <w:r w:rsidR="007F1690" w:rsidRPr="007F1690">
        <w:rPr>
          <w:lang w:val="fr-FR"/>
        </w:rPr>
        <w:t>’</w:t>
      </w:r>
      <w:r w:rsidRPr="007F1690">
        <w:rPr>
          <w:lang w:val="fr-FR"/>
        </w:rPr>
        <w:t>article 1 du Protocole n</w:t>
      </w:r>
      <w:r w:rsidRPr="007F1690">
        <w:rPr>
          <w:vertAlign w:val="superscript"/>
          <w:lang w:val="fr-FR"/>
        </w:rPr>
        <w:t>o</w:t>
      </w:r>
      <w:r w:rsidRPr="007F1690">
        <w:rPr>
          <w:lang w:val="fr-FR"/>
        </w:rPr>
        <w:t> 1</w:t>
      </w:r>
    </w:p>
    <w:p w:rsidR="00CF6CD3" w:rsidRPr="007F1690" w:rsidRDefault="00CF6CD3" w:rsidP="007F1690">
      <w:pPr>
        <w:pStyle w:val="ECHRTitleCentre2"/>
        <w:rPr>
          <w:lang w:val="fr-FR"/>
        </w:rPr>
      </w:pPr>
      <w:r w:rsidRPr="007F1690">
        <w:rPr>
          <w:lang w:val="fr-FR"/>
        </w:rPr>
        <w:t>(inexécution ou exécution tardive de décisions de justice internes)</w:t>
      </w:r>
    </w:p>
    <w:p w:rsidR="005D066E" w:rsidRPr="007F1690" w:rsidRDefault="005D066E" w:rsidP="007F1690">
      <w:pPr>
        <w:pStyle w:val="ECHRPara"/>
        <w:rPr>
          <w:lang w:val="fr-FR"/>
        </w:rPr>
      </w:pPr>
    </w:p>
    <w:tbl>
      <w:tblPr>
        <w:tblStyle w:val="ECHRListTable"/>
        <w:tblW w:w="7531" w:type="dxa"/>
        <w:jc w:val="center"/>
        <w:tblLook w:val="05E0" w:firstRow="1" w:lastRow="1" w:firstColumn="1" w:lastColumn="1" w:noHBand="0" w:noVBand="1"/>
      </w:tblPr>
      <w:tblGrid>
        <w:gridCol w:w="486"/>
        <w:gridCol w:w="1494"/>
        <w:gridCol w:w="1632"/>
        <w:gridCol w:w="3919"/>
      </w:tblGrid>
      <w:tr w:rsidR="00CF6CD3" w:rsidRPr="007F1690" w:rsidTr="00824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  <w:vAlign w:val="center"/>
            <w:hideMark/>
          </w:tcPr>
          <w:p w:rsidR="00CF6CD3" w:rsidRPr="007F1690" w:rsidRDefault="00CF6CD3" w:rsidP="007F1690">
            <w:pPr>
              <w:jc w:val="center"/>
            </w:pPr>
            <w:bookmarkStart w:id="1" w:name="WECLListStart"/>
            <w:bookmarkStart w:id="2" w:name="AppTableStart"/>
            <w:bookmarkEnd w:id="1"/>
            <w:bookmarkEnd w:id="2"/>
            <w:r w:rsidRPr="007F1690">
              <w:t>N</w:t>
            </w:r>
            <w:r w:rsidRPr="007F1690">
              <w:rPr>
                <w:vertAlign w:val="superscript"/>
              </w:rPr>
              <w:t>o</w:t>
            </w:r>
          </w:p>
        </w:tc>
        <w:tc>
          <w:tcPr>
            <w:tcW w:w="1494" w:type="dxa"/>
            <w:vAlign w:val="center"/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Requête N</w:t>
            </w:r>
            <w:r w:rsidRPr="007F1690">
              <w:rPr>
                <w:vertAlign w:val="superscript"/>
              </w:rPr>
              <w:t>o</w:t>
            </w:r>
          </w:p>
        </w:tc>
        <w:tc>
          <w:tcPr>
            <w:tcW w:w="1632" w:type="dxa"/>
            <w:vAlign w:val="center"/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Introduite le</w:t>
            </w:r>
          </w:p>
        </w:tc>
        <w:tc>
          <w:tcPr>
            <w:tcW w:w="3919" w:type="dxa"/>
            <w:vAlign w:val="center"/>
            <w:hideMark/>
          </w:tcPr>
          <w:p w:rsidR="00CF6CD3" w:rsidRPr="007F1690" w:rsidRDefault="00CF6CD3" w:rsidP="007F1690">
            <w:pPr>
              <w:jc w:val="center"/>
              <w:rPr>
                <w:lang w:val="fr-FR"/>
              </w:rPr>
            </w:pPr>
            <w:r w:rsidRPr="007F1690">
              <w:rPr>
                <w:lang w:val="fr-FR"/>
              </w:rPr>
              <w:t>Requérant</w:t>
            </w:r>
          </w:p>
          <w:p w:rsidR="00CF6CD3" w:rsidRPr="007F1690" w:rsidRDefault="00CF6CD3" w:rsidP="007F1690">
            <w:pPr>
              <w:jc w:val="center"/>
              <w:rPr>
                <w:lang w:val="fr-FR"/>
              </w:rPr>
            </w:pPr>
            <w:r w:rsidRPr="007F1690">
              <w:rPr>
                <w:lang w:val="fr-FR"/>
              </w:rPr>
              <w:t>Date de naissance</w:t>
            </w:r>
          </w:p>
          <w:p w:rsidR="00CF6CD3" w:rsidRPr="007F1690" w:rsidRDefault="00CF6CD3" w:rsidP="007F1690">
            <w:pPr>
              <w:jc w:val="center"/>
              <w:rPr>
                <w:lang w:val="fr-FR"/>
              </w:rPr>
            </w:pPr>
            <w:r w:rsidRPr="007F1690">
              <w:rPr>
                <w:lang w:val="fr-FR"/>
              </w:rPr>
              <w:t>Lieu de résidence</w:t>
            </w:r>
          </w:p>
        </w:tc>
      </w:tr>
      <w:tr w:rsidR="00CF6CD3" w:rsidRPr="007F1690" w:rsidTr="00824B06">
        <w:trPr>
          <w:jc w:val="center"/>
        </w:trPr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CF6CD3" w:rsidRPr="007F1690" w:rsidRDefault="00CF6CD3" w:rsidP="007F1690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310/16</w:t>
            </w:r>
          </w:p>
        </w:tc>
        <w:tc>
          <w:tcPr>
            <w:tcW w:w="1632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22/12/2015</w:t>
            </w:r>
          </w:p>
        </w:tc>
        <w:tc>
          <w:tcPr>
            <w:tcW w:w="39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CF6CD3" w:rsidRPr="007F1690" w:rsidRDefault="00CF6CD3" w:rsidP="007F1690">
            <w:pPr>
              <w:jc w:val="left"/>
              <w:rPr>
                <w:b/>
                <w:lang w:val="en-GB"/>
              </w:rPr>
            </w:pPr>
            <w:r w:rsidRPr="007F1690">
              <w:rPr>
                <w:b/>
                <w:lang w:val="en-GB"/>
              </w:rPr>
              <w:t>Marino BONGI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  <w:r w:rsidRPr="007F1690">
              <w:rPr>
                <w:lang w:val="en-GB"/>
              </w:rPr>
              <w:t>04/04/1929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  <w:r w:rsidRPr="007F1690">
              <w:rPr>
                <w:lang w:val="en-GB"/>
              </w:rPr>
              <w:t xml:space="preserve">Santo Stefano </w:t>
            </w:r>
            <w:r w:rsidR="0083429F" w:rsidRPr="007F1690">
              <w:rPr>
                <w:lang w:val="en-GB"/>
              </w:rPr>
              <w:t xml:space="preserve">di </w:t>
            </w:r>
            <w:r w:rsidRPr="007F1690">
              <w:rPr>
                <w:lang w:val="en-GB"/>
              </w:rPr>
              <w:t>Magra</w:t>
            </w:r>
            <w:r w:rsidR="00824B06" w:rsidRPr="007F1690">
              <w:rPr>
                <w:lang w:val="en-GB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en-GB"/>
              </w:rPr>
            </w:pPr>
            <w:r w:rsidRPr="007F1690">
              <w:rPr>
                <w:b/>
                <w:lang w:val="en-GB"/>
              </w:rPr>
              <w:t>Luciana RUFFINI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  <w:r w:rsidRPr="007F1690">
              <w:rPr>
                <w:lang w:val="en-GB"/>
              </w:rPr>
              <w:t>26/08/1933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  <w:r w:rsidRPr="007F1690">
              <w:rPr>
                <w:lang w:val="en-GB"/>
              </w:rPr>
              <w:t xml:space="preserve">Santo Stefano </w:t>
            </w:r>
            <w:r w:rsidR="0083429F" w:rsidRPr="007F1690">
              <w:rPr>
                <w:lang w:val="en-GB"/>
              </w:rPr>
              <w:t xml:space="preserve">di </w:t>
            </w:r>
            <w:r w:rsidRPr="007F1690">
              <w:rPr>
                <w:lang w:val="en-GB"/>
              </w:rPr>
              <w:t>Magra</w:t>
            </w:r>
            <w:r w:rsidR="00824B06" w:rsidRPr="007F1690">
              <w:rPr>
                <w:lang w:val="en-GB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en-GB"/>
              </w:rPr>
            </w:pPr>
            <w:r w:rsidRPr="007F1690">
              <w:rPr>
                <w:b/>
                <w:lang w:val="en-GB"/>
              </w:rPr>
              <w:t>Giancarlo ROSSI</w:t>
            </w:r>
          </w:p>
          <w:p w:rsidR="00CF6CD3" w:rsidRPr="007F1690" w:rsidRDefault="00CF6CD3" w:rsidP="007F1690">
            <w:pPr>
              <w:jc w:val="left"/>
            </w:pPr>
            <w:r w:rsidRPr="007F1690">
              <w:t>09/08/1936</w:t>
            </w:r>
          </w:p>
          <w:p w:rsidR="00CF6CD3" w:rsidRPr="007F1690" w:rsidRDefault="003F004E" w:rsidP="007F1690">
            <w:pPr>
              <w:jc w:val="left"/>
            </w:pPr>
            <w:r w:rsidRPr="007F1690">
              <w:t>Carrare (Ms)</w:t>
            </w:r>
          </w:p>
          <w:p w:rsidR="00CF6CD3" w:rsidRPr="007F1690" w:rsidRDefault="00CF6CD3" w:rsidP="007F1690">
            <w:pPr>
              <w:jc w:val="left"/>
            </w:pPr>
          </w:p>
          <w:p w:rsidR="00CF6CD3" w:rsidRPr="007F1690" w:rsidRDefault="00CF6CD3" w:rsidP="007F1690">
            <w:pPr>
              <w:jc w:val="left"/>
              <w:rPr>
                <w:b/>
              </w:rPr>
            </w:pPr>
            <w:r w:rsidRPr="007F1690">
              <w:rPr>
                <w:b/>
              </w:rPr>
              <w:t>Imola MARABOTTI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05/03/1940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Carrar</w:t>
            </w:r>
            <w:r w:rsidR="003F004E" w:rsidRPr="007F1690">
              <w:rPr>
                <w:lang w:val="fr-FR"/>
              </w:rPr>
              <w:t>e (Ms)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fr-FR"/>
              </w:rPr>
            </w:pPr>
            <w:r w:rsidRPr="007F1690">
              <w:rPr>
                <w:b/>
                <w:lang w:val="fr-FR"/>
              </w:rPr>
              <w:t>Angelo MARTELLI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18/02/1932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La Spezia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fr-FR"/>
              </w:rPr>
            </w:pPr>
            <w:r w:rsidRPr="007F1690">
              <w:rPr>
                <w:b/>
                <w:lang w:val="fr-FR"/>
              </w:rPr>
              <w:t>Maria POGGI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21/10/1934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Monterosso al Mare</w:t>
            </w:r>
            <w:r w:rsidR="006F2C4B" w:rsidRPr="007F1690">
              <w:rPr>
                <w:lang w:val="fr-FR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fr-FR"/>
              </w:rPr>
            </w:pPr>
            <w:r w:rsidRPr="007F1690">
              <w:rPr>
                <w:b/>
                <w:lang w:val="fr-FR"/>
              </w:rPr>
              <w:t>Claudio MAZZOCCA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16/12/1942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  <w:r w:rsidRPr="007F1690">
              <w:rPr>
                <w:lang w:val="fr-FR"/>
              </w:rPr>
              <w:t>La Spezia</w:t>
            </w:r>
          </w:p>
          <w:p w:rsidR="00CF6CD3" w:rsidRPr="007F1690" w:rsidRDefault="00CF6CD3" w:rsidP="007F1690">
            <w:pPr>
              <w:jc w:val="left"/>
              <w:rPr>
                <w:lang w:val="fr-FR"/>
              </w:rPr>
            </w:pPr>
          </w:p>
          <w:p w:rsidR="005D066E" w:rsidRPr="007F1690" w:rsidRDefault="005D066E" w:rsidP="007F1690">
            <w:pPr>
              <w:jc w:val="left"/>
              <w:rPr>
                <w:lang w:val="fr-FR"/>
              </w:rPr>
            </w:pPr>
          </w:p>
          <w:p w:rsidR="005D066E" w:rsidRPr="007F1690" w:rsidRDefault="005D066E" w:rsidP="007F1690">
            <w:pPr>
              <w:jc w:val="left"/>
              <w:rPr>
                <w:lang w:val="fr-FR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lastRenderedPageBreak/>
              <w:t>Anna Maria IANNUCCI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07/09/1949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La Spezia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Milene CRESCI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22/03/1931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Arcola</w:t>
            </w:r>
            <w:r w:rsidR="006F2C4B" w:rsidRPr="007F1690">
              <w:rPr>
                <w:lang w:val="it-IT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Leonello RADDI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18/11/1926</w:t>
            </w:r>
          </w:p>
          <w:p w:rsidR="00CF6CD3" w:rsidRPr="007F1690" w:rsidRDefault="00CF6CD3" w:rsidP="007F1690">
            <w:pPr>
              <w:jc w:val="left"/>
              <w:rPr>
                <w:i/>
                <w:sz w:val="22"/>
                <w:lang w:val="fr-FR"/>
              </w:rPr>
            </w:pPr>
            <w:r w:rsidRPr="007F1690">
              <w:rPr>
                <w:i/>
                <w:sz w:val="22"/>
                <w:lang w:val="it-IT"/>
              </w:rPr>
              <w:t>(décédé,</w:t>
            </w:r>
            <w:r w:rsidR="006F2C4B" w:rsidRPr="007F1690">
              <w:rPr>
                <w:i/>
                <w:sz w:val="22"/>
                <w:lang w:val="it-IT"/>
              </w:rPr>
              <w:t xml:space="preserve"> </w:t>
            </w:r>
            <w:r w:rsidRPr="007F1690">
              <w:rPr>
                <w:i/>
                <w:sz w:val="22"/>
                <w:lang w:val="it-IT"/>
              </w:rPr>
              <w:t xml:space="preserve">assisté par </w:t>
            </w:r>
            <w:r w:rsidRPr="007F1690">
              <w:rPr>
                <w:i/>
                <w:sz w:val="22"/>
                <w:lang w:val="fr-FR"/>
              </w:rPr>
              <w:t>Tiziana RADDI, tutrice légale)</w:t>
            </w:r>
          </w:p>
        </w:tc>
      </w:tr>
      <w:tr w:rsidR="00CF6CD3" w:rsidRPr="007F1690" w:rsidTr="00824B06">
        <w:trPr>
          <w:jc w:val="center"/>
        </w:trPr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CF6CD3" w:rsidRPr="007F1690" w:rsidRDefault="00CF6CD3" w:rsidP="007F1690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971/16</w:t>
            </w:r>
          </w:p>
        </w:tc>
        <w:tc>
          <w:tcPr>
            <w:tcW w:w="1632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22/12/2015</w:t>
            </w:r>
          </w:p>
        </w:tc>
        <w:tc>
          <w:tcPr>
            <w:tcW w:w="39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Pancrazio ANDREANI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12/05/1947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Ortonovo</w:t>
            </w:r>
            <w:r w:rsidR="0083429F" w:rsidRPr="007F1690">
              <w:rPr>
                <w:lang w:val="it-IT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Franco FRUENDI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01/01/1944</w:t>
            </w:r>
          </w:p>
          <w:p w:rsidR="0083429F" w:rsidRPr="007F1690" w:rsidRDefault="0083429F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Ortonovo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Vanna ANDREANI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19/06/1943</w:t>
            </w:r>
          </w:p>
          <w:p w:rsidR="0083429F" w:rsidRPr="007F1690" w:rsidRDefault="0083429F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Ortonovo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Temi PIETRA</w:t>
            </w:r>
          </w:p>
          <w:p w:rsidR="00CF6CD3" w:rsidRPr="007F1690" w:rsidRDefault="00CF6CD3" w:rsidP="007F1690">
            <w:pPr>
              <w:jc w:val="left"/>
              <w:rPr>
                <w:lang w:val="en-GB"/>
              </w:rPr>
            </w:pPr>
            <w:r w:rsidRPr="007F1690">
              <w:t>09/06/1922</w:t>
            </w:r>
          </w:p>
          <w:p w:rsidR="00CF6CD3" w:rsidRPr="007F1690" w:rsidRDefault="0083429F" w:rsidP="007F1690">
            <w:pPr>
              <w:jc w:val="left"/>
            </w:pPr>
            <w:r w:rsidRPr="007F1690">
              <w:rPr>
                <w:lang w:val="it-IT"/>
              </w:rPr>
              <w:t>Ortonovo (Sp)</w:t>
            </w:r>
          </w:p>
        </w:tc>
      </w:tr>
      <w:tr w:rsidR="00CF6CD3" w:rsidRPr="007F1690" w:rsidTr="00824B06">
        <w:trPr>
          <w:jc w:val="center"/>
        </w:trPr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CF6CD3" w:rsidRPr="007F1690" w:rsidRDefault="00CF6CD3" w:rsidP="007F1690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2657/16</w:t>
            </w:r>
          </w:p>
        </w:tc>
        <w:tc>
          <w:tcPr>
            <w:tcW w:w="1632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CF6CD3" w:rsidRPr="007F1690" w:rsidRDefault="00CF6CD3" w:rsidP="007F1690">
            <w:pPr>
              <w:jc w:val="center"/>
            </w:pPr>
            <w:r w:rsidRPr="007F1690">
              <w:t>20/12/2015</w:t>
            </w:r>
          </w:p>
        </w:tc>
        <w:tc>
          <w:tcPr>
            <w:tcW w:w="39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Luciano CALLONI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08/04/1955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Lerici</w:t>
            </w:r>
            <w:r w:rsidR="0083429F" w:rsidRPr="007F1690">
              <w:rPr>
                <w:lang w:val="it-IT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Pasquale STELLITANO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01/11/1946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Arcola</w:t>
            </w:r>
            <w:r w:rsidR="0083429F" w:rsidRPr="007F1690">
              <w:rPr>
                <w:lang w:val="it-IT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Mavi PODESTÀ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02/01/1955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Arcola</w:t>
            </w:r>
            <w:r w:rsidR="0083429F" w:rsidRPr="007F1690">
              <w:rPr>
                <w:lang w:val="it-IT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5D066E" w:rsidRPr="007F1690" w:rsidRDefault="005D066E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lastRenderedPageBreak/>
              <w:t>Fabio MORETTI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30/07/1956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Fosdinovo</w:t>
            </w:r>
            <w:r w:rsidR="0083429F" w:rsidRPr="007F1690">
              <w:rPr>
                <w:lang w:val="it-IT"/>
              </w:rPr>
              <w:t xml:space="preserve"> (Ms)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Giancarlo GERBI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12/05/1946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Fosdinovo</w:t>
            </w:r>
            <w:r w:rsidR="0083429F" w:rsidRPr="007F1690">
              <w:rPr>
                <w:lang w:val="it-IT"/>
              </w:rPr>
              <w:t xml:space="preserve"> (Ms)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Rita BEGGI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16/08/1946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Carrar</w:t>
            </w:r>
            <w:r w:rsidR="0083429F" w:rsidRPr="007F1690">
              <w:rPr>
                <w:lang w:val="it-IT"/>
              </w:rPr>
              <w:t>e (Ms)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Edilio MANZI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02/06/1942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 xml:space="preserve">Santo Stefano </w:t>
            </w:r>
            <w:r w:rsidR="0083429F" w:rsidRPr="007F1690">
              <w:rPr>
                <w:lang w:val="it-IT"/>
              </w:rPr>
              <w:t xml:space="preserve">di </w:t>
            </w:r>
            <w:r w:rsidRPr="007F1690">
              <w:rPr>
                <w:lang w:val="it-IT"/>
              </w:rPr>
              <w:t>Magra</w:t>
            </w:r>
            <w:r w:rsidR="0083429F" w:rsidRPr="007F1690">
              <w:rPr>
                <w:lang w:val="it-IT"/>
              </w:rPr>
              <w:t xml:space="preserve"> (Sp)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Gerardina GINESI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06/06/1929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Fivizzano</w:t>
            </w:r>
            <w:r w:rsidR="0083429F" w:rsidRPr="007F1690">
              <w:rPr>
                <w:lang w:val="it-IT"/>
              </w:rPr>
              <w:t xml:space="preserve"> (Ms)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Anna Maria BERTOLI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04/01/1948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La Spezia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Idilio BERTOLI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22/07/1953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La Spezia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Clemente FASOLI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21/08/1935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(décédé)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La Spezia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</w:p>
          <w:p w:rsidR="00CF6CD3" w:rsidRPr="007F1690" w:rsidRDefault="00CF6CD3" w:rsidP="007F1690">
            <w:pPr>
              <w:jc w:val="left"/>
              <w:rPr>
                <w:b/>
                <w:lang w:val="it-IT"/>
              </w:rPr>
            </w:pPr>
            <w:r w:rsidRPr="007F1690">
              <w:rPr>
                <w:b/>
                <w:lang w:val="it-IT"/>
              </w:rPr>
              <w:t>Aristide VIOTTI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14/09/1942</w:t>
            </w:r>
          </w:p>
          <w:p w:rsidR="00CF6CD3" w:rsidRPr="007F1690" w:rsidRDefault="00CF6CD3" w:rsidP="007F1690">
            <w:pPr>
              <w:jc w:val="left"/>
              <w:rPr>
                <w:lang w:val="it-IT"/>
              </w:rPr>
            </w:pPr>
            <w:r w:rsidRPr="007F1690">
              <w:rPr>
                <w:lang w:val="it-IT"/>
              </w:rPr>
              <w:t>Chiavari</w:t>
            </w:r>
            <w:r w:rsidR="0083429F" w:rsidRPr="007F1690">
              <w:rPr>
                <w:lang w:val="it-IT"/>
              </w:rPr>
              <w:t xml:space="preserve"> (Ge)</w:t>
            </w:r>
          </w:p>
        </w:tc>
      </w:tr>
    </w:tbl>
    <w:p w:rsidR="00CF6CD3" w:rsidRPr="007F1690" w:rsidRDefault="00CF6CD3" w:rsidP="007F1690">
      <w:pPr>
        <w:pStyle w:val="JuSigned"/>
        <w:rPr>
          <w:lang w:val="it-IT"/>
        </w:rPr>
      </w:pPr>
    </w:p>
    <w:sectPr w:rsidR="00CF6CD3" w:rsidRPr="007F1690" w:rsidSect="00290AAA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7A" w:rsidRPr="009A0A3C" w:rsidRDefault="0078647A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78647A" w:rsidRPr="009A0A3C" w:rsidRDefault="0078647A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A" w:rsidRPr="00E07614" w:rsidRDefault="00290AAA" w:rsidP="0020718E">
    <w:pPr>
      <w:jc w:val="center"/>
      <w:rPr>
        <w:sz w:val="18"/>
        <w:szCs w:val="18"/>
        <w:lang w:val="fr-FR"/>
      </w:rPr>
    </w:pPr>
    <w:r w:rsidRPr="00E07614">
      <w:rPr>
        <w:noProof/>
        <w:sz w:val="18"/>
        <w:szCs w:val="18"/>
        <w:lang w:val="it-IT" w:eastAsia="it-IT"/>
      </w:rPr>
      <w:drawing>
        <wp:inline distT="0" distB="0" distL="0" distR="0" wp14:anchorId="0AB84CB9" wp14:editId="5B640097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AAA" w:rsidRPr="009A0A3C" w:rsidRDefault="00290AAA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7A" w:rsidRPr="009A0A3C" w:rsidRDefault="0078647A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78647A" w:rsidRPr="009A0A3C" w:rsidRDefault="0078647A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A" w:rsidRPr="009A0A3C" w:rsidRDefault="00290AAA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E07614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3B4D66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Pr="00E07614">
      <w:rPr>
        <w:lang w:val="fr-FR"/>
      </w:rPr>
      <w:tab/>
      <w:t xml:space="preserve">DÉCISION </w:t>
    </w:r>
    <w:r w:rsidR="00DA2CA8">
      <w:rPr>
        <w:lang w:val="fr-FR"/>
      </w:rPr>
      <w:t>BONGI ET AUTRES</w:t>
    </w:r>
    <w:r w:rsidRPr="00E07614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A" w:rsidRPr="009A0A3C" w:rsidRDefault="00290AAA" w:rsidP="009F2107">
    <w:pPr>
      <w:pStyle w:val="ECHRHeader"/>
      <w:rPr>
        <w:lang w:val="fr-FR"/>
      </w:rPr>
    </w:pPr>
    <w:r w:rsidRPr="009A0A3C">
      <w:rPr>
        <w:lang w:val="fr-FR"/>
      </w:rPr>
      <w:tab/>
    </w:r>
    <w:r w:rsidR="000C4D14" w:rsidRPr="00E07614">
      <w:rPr>
        <w:lang w:val="fr-FR"/>
      </w:rPr>
      <w:t xml:space="preserve">DÉCISION </w:t>
    </w:r>
    <w:r w:rsidR="000C4D14">
      <w:rPr>
        <w:lang w:val="fr-FR"/>
      </w:rPr>
      <w:t>BONGI ET AUTRES</w:t>
    </w:r>
    <w:r w:rsidR="000C4D14" w:rsidRPr="00E07614">
      <w:rPr>
        <w:lang w:val="fr-FR"/>
      </w:rPr>
      <w:t xml:space="preserve"> c. ITALIE </w:t>
    </w:r>
    <w:r w:rsidR="000C4D14"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B4D66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A" w:rsidRPr="00A45145" w:rsidRDefault="00290AA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2B7C5CD" wp14:editId="6F2C1F43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AAA" w:rsidRPr="009A0A3C" w:rsidRDefault="00290AAA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3" w:rsidRPr="009A0A3C" w:rsidRDefault="00CF6CD3" w:rsidP="00DA2CA8">
    <w:pPr>
      <w:pStyle w:val="ECHRHeader"/>
      <w:tabs>
        <w:tab w:val="clear" w:pos="7371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CF6CD3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3B4D66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Pr="00CF6CD3">
      <w:rPr>
        <w:lang w:val="fr-FR"/>
      </w:rPr>
      <w:tab/>
      <w:t xml:space="preserve">DÉCISION BONGI ET AUTRES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3" w:rsidRPr="009A0A3C" w:rsidRDefault="00CF6CD3" w:rsidP="00DA2CA8">
    <w:pPr>
      <w:pStyle w:val="ECHRHeader"/>
      <w:tabs>
        <w:tab w:val="right" w:pos="13890"/>
      </w:tabs>
      <w:rPr>
        <w:lang w:val="fr-FR"/>
      </w:rPr>
    </w:pPr>
    <w:r w:rsidRPr="009A0A3C">
      <w:rPr>
        <w:lang w:val="fr-FR"/>
      </w:rPr>
      <w:tab/>
    </w:r>
    <w:r w:rsidRPr="00CF6CD3">
      <w:rPr>
        <w:lang w:val="fr-FR"/>
      </w:rPr>
      <w:t xml:space="preserve">DÉCISION BONGI ET AUTRES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B4D66">
      <w:rPr>
        <w:rStyle w:val="Numeropagina"/>
        <w:noProof/>
        <w:lang w:val="fr-FR"/>
      </w:rPr>
      <w:t>5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3" w:rsidRPr="00A45145" w:rsidRDefault="00CF6CD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DF3C37C" wp14:editId="5B9F13D5">
          <wp:extent cx="2962275" cy="1219200"/>
          <wp:effectExtent l="0" t="0" r="9525" b="0"/>
          <wp:docPr id="25" name="Picture 2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CD3" w:rsidRPr="009A0A3C" w:rsidRDefault="00CF6CD3" w:rsidP="00CF6CD3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A4887"/>
    <w:multiLevelType w:val="hybridMultilevel"/>
    <w:tmpl w:val="48F68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CF6CD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4D14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0AAA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B4D66"/>
    <w:rsid w:val="003C5714"/>
    <w:rsid w:val="003C6B9F"/>
    <w:rsid w:val="003C6E2A"/>
    <w:rsid w:val="003D0299"/>
    <w:rsid w:val="003E6D80"/>
    <w:rsid w:val="003F004E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066E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2C4B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8647A"/>
    <w:rsid w:val="00790E96"/>
    <w:rsid w:val="00793366"/>
    <w:rsid w:val="007A716F"/>
    <w:rsid w:val="007B270A"/>
    <w:rsid w:val="007B698C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690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4B06"/>
    <w:rsid w:val="008255F5"/>
    <w:rsid w:val="0083014E"/>
    <w:rsid w:val="0083214A"/>
    <w:rsid w:val="00834220"/>
    <w:rsid w:val="0083429F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6CD3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2CA8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44EC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,Title_C_2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CF6CD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CF6CD3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CF6CD3"/>
  </w:style>
  <w:style w:type="paragraph" w:customStyle="1" w:styleId="ECHRParaSpaced">
    <w:name w:val="ECHR_Para_Spaced"/>
    <w:aliases w:val="Para_Spaced"/>
    <w:basedOn w:val="Normale"/>
    <w:uiPriority w:val="4"/>
    <w:qFormat/>
    <w:rsid w:val="00CF6CD3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A762-A8AD-40C5-857C-68C076587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5A326-CC1D-4F86-9663-BD66C12E1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67E06-74BF-4947-A797-C1E01D03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36AD28-EB88-4502-9E45-244F7F3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2018-07-30T08:21:00Z</dcterms:created>
  <dcterms:modified xsi:type="dcterms:W3CDTF">2018-07-30T08:21:00Z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310/16</vt:lpwstr>
  </property>
  <property fmtid="{D5CDD505-2E9C-101B-9397-08002B2CF9AE}" pid="4" name="CASEID">
    <vt:lpwstr>1173807</vt:lpwstr>
  </property>
  <property fmtid="{D5CDD505-2E9C-101B-9397-08002B2CF9AE}" pid="5" name="ContentTypeId">
    <vt:lpwstr>0x010100558EB02BDB9E204AB350EDD385B68E10</vt:lpwstr>
  </property>
</Properties>
</file>